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sz w:val="24"/>
          <w:szCs w:val="24"/>
        </w:rPr>
      </w:pPr>
    </w:p>
    <w:p>
      <w:pPr>
        <w:widowControl/>
        <w:jc w:val="left"/>
        <w:rPr>
          <w:rFonts w:hint="default" w:ascii="Times New Roman" w:hAnsi="Times New Roman" w:cs="Times New Roman"/>
          <w:b/>
          <w:color w:val="000000"/>
          <w:sz w:val="24"/>
          <w:szCs w:val="24"/>
        </w:rPr>
      </w:pPr>
      <w:r>
        <w:rPr>
          <w:rFonts w:hint="default" w:ascii="Times New Roman" w:hAnsi="Times New Roman" w:cs="Times New Roman"/>
          <w:b/>
          <w:bCs/>
          <w:sz w:val="24"/>
          <w:szCs w:val="24"/>
        </w:rPr>
        <w:t>附件</w:t>
      </w:r>
      <w:r>
        <w:rPr>
          <w:rFonts w:hint="default" w:ascii="Times New Roman" w:hAnsi="Times New Roman" w:cs="Times New Roman"/>
          <w:b/>
          <w:bCs/>
          <w:sz w:val="24"/>
          <w:szCs w:val="24"/>
          <w:lang w:val="en-US" w:eastAsia="zh-CN"/>
        </w:rPr>
        <w:t>2</w:t>
      </w:r>
      <w:r>
        <w:rPr>
          <w:rFonts w:hint="default" w:ascii="Times New Roman" w:hAnsi="Times New Roman" w:cs="Times New Roman"/>
          <w:b/>
          <w:bCs/>
          <w:sz w:val="24"/>
          <w:szCs w:val="24"/>
        </w:rPr>
        <w:t>：</w:t>
      </w:r>
      <w:r>
        <w:rPr>
          <w:rFonts w:hint="default" w:ascii="Times New Roman" w:hAnsi="Times New Roman" w:cs="Times New Roman"/>
          <w:b/>
          <w:color w:val="000000"/>
          <w:sz w:val="24"/>
          <w:szCs w:val="24"/>
        </w:rPr>
        <w:t>福建省正荣公益基金会资助项目财务管理办法</w:t>
      </w:r>
    </w:p>
    <w:p>
      <w:pPr>
        <w:rPr>
          <w:color w:val="000000"/>
          <w:sz w:val="24"/>
          <w:szCs w:val="24"/>
        </w:rPr>
      </w:pPr>
    </w:p>
    <w:p>
      <w:pPr>
        <w:spacing w:line="360" w:lineRule="auto"/>
        <w:ind w:firstLine="360" w:firstLineChars="150"/>
        <w:rPr>
          <w:sz w:val="24"/>
          <w:szCs w:val="24"/>
        </w:rPr>
      </w:pPr>
      <w:r>
        <w:rPr>
          <w:color w:val="000000"/>
          <w:sz w:val="24"/>
          <w:szCs w:val="24"/>
        </w:rPr>
        <w:t>《福建省正荣公益基金会项目财务管理办法》依据《中华人民共和国会计法》和基金会相关财务标准编写，旨在规范项目资金运</w:t>
      </w:r>
      <w:bookmarkStart w:id="0" w:name="_GoBack"/>
      <w:bookmarkEnd w:id="0"/>
      <w:r>
        <w:rPr>
          <w:color w:val="000000"/>
          <w:sz w:val="24"/>
          <w:szCs w:val="24"/>
        </w:rPr>
        <w:t>作及财务管理活动，提高会</w:t>
      </w:r>
      <w:r>
        <w:rPr>
          <w:sz w:val="24"/>
          <w:szCs w:val="24"/>
        </w:rPr>
        <w:t>计信息质量。</w:t>
      </w:r>
    </w:p>
    <w:p>
      <w:pPr>
        <w:spacing w:line="360" w:lineRule="auto"/>
        <w:ind w:firstLine="480" w:firstLineChars="200"/>
        <w:rPr>
          <w:b/>
          <w:sz w:val="24"/>
          <w:szCs w:val="24"/>
        </w:rPr>
      </w:pPr>
      <w:r>
        <w:rPr>
          <w:sz w:val="24"/>
          <w:szCs w:val="24"/>
        </w:rPr>
        <w:t>不论项目合作伙伴处于何种注册方式，选用何种会计制度组织核算，作为福建省正荣公益基金会（以下简称正荣基金会）项目财务管理基本标准和底线要求，项目合作伙伴应该遵循本管理办法的规定</w:t>
      </w:r>
      <w:r>
        <w:rPr>
          <w:color w:val="0000FF"/>
          <w:sz w:val="24"/>
          <w:szCs w:val="24"/>
        </w:rPr>
        <w:t>。</w:t>
      </w:r>
    </w:p>
    <w:p>
      <w:pPr>
        <w:spacing w:line="360" w:lineRule="auto"/>
        <w:rPr>
          <w:b/>
          <w:sz w:val="24"/>
          <w:szCs w:val="24"/>
        </w:rPr>
      </w:pPr>
    </w:p>
    <w:p>
      <w:pPr>
        <w:spacing w:line="360" w:lineRule="auto"/>
        <w:rPr>
          <w:sz w:val="24"/>
          <w:szCs w:val="24"/>
        </w:rPr>
      </w:pPr>
      <w:r>
        <w:rPr>
          <w:b/>
          <w:sz w:val="24"/>
          <w:szCs w:val="24"/>
        </w:rPr>
        <w:t>一、项目收入及账目</w:t>
      </w:r>
    </w:p>
    <w:p>
      <w:pPr>
        <w:numPr>
          <w:ilvl w:val="0"/>
          <w:numId w:val="1"/>
        </w:numPr>
        <w:spacing w:line="360" w:lineRule="auto"/>
        <w:rPr>
          <w:sz w:val="24"/>
          <w:szCs w:val="24"/>
        </w:rPr>
      </w:pPr>
      <w:r>
        <w:rPr>
          <w:color w:val="000000"/>
          <w:sz w:val="24"/>
          <w:szCs w:val="24"/>
        </w:rPr>
        <w:t>项目合作伙伴收到</w:t>
      </w:r>
      <w:r>
        <w:rPr>
          <w:sz w:val="24"/>
          <w:szCs w:val="24"/>
        </w:rPr>
        <w:t>拨款应开具正规票据，并寄回福建省正荣公益基金会，并按项目拨款金额及时入账。银行或财务手续费或项目管理费，应作为费用从项目支出中核销。</w:t>
      </w:r>
    </w:p>
    <w:p>
      <w:pPr>
        <w:pStyle w:val="6"/>
        <w:numPr>
          <w:ilvl w:val="0"/>
          <w:numId w:val="1"/>
        </w:numPr>
        <w:spacing w:line="360" w:lineRule="auto"/>
        <w:ind w:firstLineChars="0"/>
        <w:rPr>
          <w:rFonts w:ascii="Times New Roman" w:hAnsi="Times New Roman"/>
          <w:sz w:val="24"/>
          <w:szCs w:val="24"/>
        </w:rPr>
      </w:pPr>
      <w:r>
        <w:rPr>
          <w:rFonts w:ascii="Times New Roman" w:hAnsi="Times New Roman"/>
          <w:sz w:val="24"/>
          <w:szCs w:val="24"/>
        </w:rPr>
        <w:t>项目拨款应根据资金来源，按资助者、分项目设置明细账。</w:t>
      </w:r>
    </w:p>
    <w:p>
      <w:pPr>
        <w:spacing w:line="360" w:lineRule="auto"/>
        <w:rPr>
          <w:b/>
          <w:sz w:val="24"/>
          <w:szCs w:val="24"/>
        </w:rPr>
      </w:pPr>
    </w:p>
    <w:p>
      <w:pPr>
        <w:spacing w:line="360" w:lineRule="auto"/>
        <w:rPr>
          <w:b/>
          <w:sz w:val="24"/>
          <w:szCs w:val="24"/>
        </w:rPr>
      </w:pPr>
      <w:r>
        <w:rPr>
          <w:b/>
          <w:sz w:val="24"/>
          <w:szCs w:val="24"/>
        </w:rPr>
        <w:t>二、项目支出及账目</w:t>
      </w:r>
    </w:p>
    <w:p>
      <w:pPr>
        <w:numPr>
          <w:ilvl w:val="0"/>
          <w:numId w:val="1"/>
        </w:numPr>
        <w:spacing w:line="360" w:lineRule="auto"/>
        <w:rPr>
          <w:sz w:val="24"/>
          <w:szCs w:val="24"/>
        </w:rPr>
      </w:pPr>
      <w:r>
        <w:rPr>
          <w:sz w:val="24"/>
          <w:szCs w:val="24"/>
        </w:rPr>
        <w:t>项目支出明细账设置应与项目预算框架和科目一致，保证实际支出与预算相对应，核算结果要能反映项目预算完成情况，满足编制项目财务报告的需要。</w:t>
      </w:r>
    </w:p>
    <w:p>
      <w:pPr>
        <w:numPr>
          <w:ilvl w:val="0"/>
          <w:numId w:val="1"/>
        </w:numPr>
        <w:spacing w:line="360" w:lineRule="auto"/>
        <w:rPr>
          <w:sz w:val="24"/>
          <w:szCs w:val="24"/>
        </w:rPr>
      </w:pPr>
      <w:r>
        <w:rPr>
          <w:sz w:val="24"/>
          <w:szCs w:val="24"/>
        </w:rPr>
        <w:t>项目支出应分项目，分活动，分费用设置明细账，要能够清楚反映每一笔明细支出。</w:t>
      </w:r>
    </w:p>
    <w:p>
      <w:pPr>
        <w:numPr>
          <w:ilvl w:val="0"/>
          <w:numId w:val="1"/>
        </w:numPr>
        <w:spacing w:line="360" w:lineRule="auto"/>
        <w:rPr>
          <w:sz w:val="24"/>
          <w:szCs w:val="24"/>
        </w:rPr>
      </w:pPr>
      <w:r>
        <w:rPr>
          <w:sz w:val="24"/>
          <w:szCs w:val="24"/>
        </w:rPr>
        <w:t>如果一个合作伙伴同一时期负责一个以上项目，每个项目须有独立的明细账。</w:t>
      </w:r>
    </w:p>
    <w:p>
      <w:pPr>
        <w:spacing w:line="360" w:lineRule="auto"/>
        <w:rPr>
          <w:b/>
          <w:sz w:val="24"/>
          <w:szCs w:val="24"/>
        </w:rPr>
      </w:pPr>
    </w:p>
    <w:p>
      <w:pPr>
        <w:spacing w:line="360" w:lineRule="auto"/>
        <w:rPr>
          <w:b/>
          <w:sz w:val="24"/>
          <w:szCs w:val="24"/>
        </w:rPr>
      </w:pPr>
      <w:r>
        <w:rPr>
          <w:b/>
          <w:sz w:val="24"/>
          <w:szCs w:val="24"/>
        </w:rPr>
        <w:t>三、费用报销要求：</w:t>
      </w:r>
    </w:p>
    <w:p>
      <w:pPr>
        <w:spacing w:line="360" w:lineRule="auto"/>
        <w:ind w:left="315" w:leftChars="150"/>
        <w:rPr>
          <w:color w:val="000000"/>
          <w:sz w:val="24"/>
          <w:szCs w:val="24"/>
        </w:rPr>
      </w:pPr>
      <w:r>
        <w:rPr>
          <w:sz w:val="24"/>
          <w:szCs w:val="24"/>
        </w:rPr>
        <w:t>所有项目支出应取得有效票据，经财务复核，项目负责人审批才能报销，</w:t>
      </w:r>
      <w:r>
        <w:rPr>
          <w:color w:val="000000"/>
          <w:sz w:val="24"/>
          <w:szCs w:val="24"/>
        </w:rPr>
        <w:t>费用报销应严格执行项目预算内容、标准和用途，采用实报实销、实事求是的原则。</w:t>
      </w:r>
    </w:p>
    <w:p>
      <w:pPr>
        <w:numPr>
          <w:ilvl w:val="0"/>
          <w:numId w:val="2"/>
        </w:numPr>
        <w:spacing w:line="360" w:lineRule="auto"/>
        <w:rPr>
          <w:sz w:val="24"/>
          <w:szCs w:val="24"/>
        </w:rPr>
      </w:pPr>
      <w:r>
        <w:rPr>
          <w:sz w:val="24"/>
          <w:szCs w:val="24"/>
        </w:rPr>
        <w:t>合作伙伴应该按照批准的预算使用资金。当预算需调整的情况发生时，合作伙伴应事前与正荣公益基金会的相关项目主管协商，并提出书面申请，获得正荣基金会负责项目主管的书面批准后才能变更资金用途。正荣基金会有权拒绝拨付或收回未经正式批准的用于项目活动变更的资金。</w:t>
      </w:r>
    </w:p>
    <w:p>
      <w:pPr>
        <w:numPr>
          <w:ilvl w:val="0"/>
          <w:numId w:val="2"/>
        </w:numPr>
        <w:spacing w:line="360" w:lineRule="auto"/>
        <w:rPr>
          <w:b/>
          <w:sz w:val="24"/>
          <w:szCs w:val="24"/>
        </w:rPr>
      </w:pPr>
      <w:r>
        <w:rPr>
          <w:sz w:val="24"/>
          <w:szCs w:val="24"/>
        </w:rPr>
        <w:t>购买物资或价值超过</w:t>
      </w:r>
      <w:r>
        <w:rPr>
          <w:color w:val="000000"/>
          <w:sz w:val="24"/>
          <w:szCs w:val="24"/>
        </w:rPr>
        <w:t>2,000元</w:t>
      </w:r>
      <w:r>
        <w:rPr>
          <w:sz w:val="24"/>
          <w:szCs w:val="24"/>
        </w:rPr>
        <w:t>的单件耐用品，或成批购买低值耐用品而总金额超过2,000元时，需要至少取得三家供货商的书面报价或报价记录（包括供货商名称、地点、电话、品名、型号、规格、等级、单价、合计金额等资料），在综合权衡质量、性能、价格、售后服务等因素后，在预算资金范围内决定购买，并保存供应商报价资料。</w:t>
      </w:r>
    </w:p>
    <w:p>
      <w:pPr>
        <w:numPr>
          <w:ilvl w:val="0"/>
          <w:numId w:val="2"/>
        </w:numPr>
        <w:spacing w:line="360" w:lineRule="auto"/>
        <w:rPr>
          <w:sz w:val="24"/>
          <w:szCs w:val="24"/>
        </w:rPr>
      </w:pPr>
      <w:r>
        <w:rPr>
          <w:sz w:val="24"/>
          <w:szCs w:val="24"/>
        </w:rPr>
        <w:t>发放现金、物资应编制相应的花名册注明领受人的姓名、身份证号码、单位、职务、领受物品的名称、数量并由领受人本人签字。</w:t>
      </w:r>
    </w:p>
    <w:p>
      <w:pPr>
        <w:spacing w:line="360" w:lineRule="auto"/>
        <w:rPr>
          <w:b/>
          <w:sz w:val="24"/>
          <w:szCs w:val="24"/>
        </w:rPr>
      </w:pPr>
    </w:p>
    <w:p>
      <w:pPr>
        <w:spacing w:line="360" w:lineRule="auto"/>
        <w:rPr>
          <w:b/>
          <w:sz w:val="24"/>
          <w:szCs w:val="24"/>
        </w:rPr>
      </w:pPr>
      <w:r>
        <w:rPr>
          <w:b/>
          <w:sz w:val="24"/>
          <w:szCs w:val="24"/>
        </w:rPr>
        <w:t>四、费用报销票据要求</w:t>
      </w:r>
    </w:p>
    <w:p>
      <w:pPr>
        <w:numPr>
          <w:ilvl w:val="0"/>
          <w:numId w:val="3"/>
        </w:numPr>
        <w:spacing w:line="360" w:lineRule="auto"/>
        <w:rPr>
          <w:color w:val="000000"/>
          <w:sz w:val="24"/>
          <w:szCs w:val="24"/>
        </w:rPr>
      </w:pPr>
      <w:r>
        <w:rPr>
          <w:color w:val="000000"/>
          <w:sz w:val="24"/>
          <w:szCs w:val="24"/>
        </w:rPr>
        <w:t>项目发生支出必须取得有效的原始单据。报销下列费用除发票外，还需要明细资料：</w:t>
      </w:r>
    </w:p>
    <w:p>
      <w:pPr>
        <w:numPr>
          <w:ilvl w:val="0"/>
          <w:numId w:val="4"/>
        </w:numPr>
        <w:spacing w:line="360" w:lineRule="auto"/>
        <w:ind w:left="777" w:hanging="357"/>
        <w:rPr>
          <w:sz w:val="24"/>
          <w:szCs w:val="24"/>
        </w:rPr>
      </w:pPr>
      <w:r>
        <w:rPr>
          <w:sz w:val="24"/>
          <w:szCs w:val="24"/>
        </w:rPr>
        <w:t>在酒店举办会议或培训报销食宿费、会议室租金：需要在发票后附酒店提供的结算明细清单；</w:t>
      </w:r>
    </w:p>
    <w:p>
      <w:pPr>
        <w:numPr>
          <w:ilvl w:val="0"/>
          <w:numId w:val="4"/>
        </w:numPr>
        <w:spacing w:line="360" w:lineRule="auto"/>
        <w:ind w:left="777" w:hanging="357"/>
        <w:rPr>
          <w:sz w:val="24"/>
          <w:szCs w:val="24"/>
        </w:rPr>
      </w:pPr>
      <w:r>
        <w:rPr>
          <w:sz w:val="24"/>
          <w:szCs w:val="24"/>
        </w:rPr>
        <w:t>报销餐费：需要说明用餐日期、用餐人、报销理由，但出差期间的包干餐费除外。</w:t>
      </w:r>
    </w:p>
    <w:p>
      <w:pPr>
        <w:numPr>
          <w:ilvl w:val="0"/>
          <w:numId w:val="4"/>
        </w:numPr>
        <w:spacing w:line="360" w:lineRule="auto"/>
        <w:ind w:left="777" w:hanging="357"/>
        <w:rPr>
          <w:color w:val="000000"/>
          <w:sz w:val="24"/>
          <w:szCs w:val="24"/>
        </w:rPr>
      </w:pPr>
      <w:r>
        <w:rPr>
          <w:sz w:val="24"/>
          <w:szCs w:val="24"/>
        </w:rPr>
        <w:t>访点或考察报销租车费：需要在发票后注明用车期间、用车人、目的地、用车目的、租车单价等信息；</w:t>
      </w:r>
    </w:p>
    <w:p>
      <w:pPr>
        <w:numPr>
          <w:ilvl w:val="0"/>
          <w:numId w:val="4"/>
        </w:numPr>
        <w:spacing w:line="360" w:lineRule="auto"/>
        <w:ind w:left="777" w:hanging="357"/>
        <w:rPr>
          <w:sz w:val="24"/>
          <w:szCs w:val="24"/>
        </w:rPr>
      </w:pPr>
      <w:r>
        <w:rPr>
          <w:color w:val="000000"/>
          <w:sz w:val="24"/>
          <w:szCs w:val="24"/>
        </w:rPr>
        <w:t>回程交通费票据必须由使用人寄回合作伙伴财务，作为原始单据报销入帐。</w:t>
      </w:r>
    </w:p>
    <w:p>
      <w:pPr>
        <w:numPr>
          <w:ilvl w:val="0"/>
          <w:numId w:val="4"/>
        </w:numPr>
        <w:spacing w:line="360" w:lineRule="auto"/>
        <w:ind w:left="777" w:hanging="357"/>
        <w:rPr>
          <w:sz w:val="24"/>
          <w:szCs w:val="24"/>
        </w:rPr>
      </w:pPr>
      <w:r>
        <w:rPr>
          <w:sz w:val="24"/>
          <w:szCs w:val="24"/>
        </w:rPr>
        <w:t>市内交通报销出租车费：需要在车票上注明用车日期、用车人、用车目的、目的地、出租车费金额等信息。每次最高不超过100元，长途应使用公共交通工具；</w:t>
      </w:r>
    </w:p>
    <w:p>
      <w:pPr>
        <w:numPr>
          <w:ilvl w:val="0"/>
          <w:numId w:val="4"/>
        </w:numPr>
        <w:spacing w:line="360" w:lineRule="auto"/>
        <w:ind w:left="777" w:hanging="357"/>
        <w:rPr>
          <w:sz w:val="24"/>
          <w:szCs w:val="24"/>
        </w:rPr>
      </w:pPr>
      <w:r>
        <w:rPr>
          <w:sz w:val="24"/>
          <w:szCs w:val="24"/>
        </w:rPr>
        <w:t>报销必要的办公用品或文具：需要在发票后附超市小票或明细清单；</w:t>
      </w:r>
    </w:p>
    <w:p>
      <w:pPr>
        <w:numPr>
          <w:ilvl w:val="0"/>
          <w:numId w:val="4"/>
        </w:numPr>
        <w:spacing w:line="360" w:lineRule="auto"/>
        <w:ind w:left="777" w:hanging="357"/>
        <w:rPr>
          <w:sz w:val="24"/>
          <w:szCs w:val="24"/>
        </w:rPr>
      </w:pPr>
      <w:r>
        <w:rPr>
          <w:sz w:val="24"/>
          <w:szCs w:val="24"/>
        </w:rPr>
        <w:t>报销打印费或复印费：需要在发票后附打印或复印资料的名称、数量、单价等信息；</w:t>
      </w:r>
    </w:p>
    <w:p>
      <w:pPr>
        <w:numPr>
          <w:ilvl w:val="0"/>
          <w:numId w:val="4"/>
        </w:numPr>
        <w:spacing w:line="360" w:lineRule="auto"/>
        <w:ind w:left="777" w:hanging="357"/>
        <w:rPr>
          <w:sz w:val="24"/>
          <w:szCs w:val="24"/>
        </w:rPr>
      </w:pPr>
      <w:r>
        <w:rPr>
          <w:color w:val="000000"/>
          <w:sz w:val="24"/>
          <w:szCs w:val="24"/>
        </w:rPr>
        <w:t>支付基建工程款，购买大宗赈灾物资，需要附上支持此项付款的相关文件、审批资料、合同或协议书等。</w:t>
      </w:r>
    </w:p>
    <w:p>
      <w:pPr>
        <w:numPr>
          <w:ilvl w:val="0"/>
          <w:numId w:val="3"/>
        </w:numPr>
        <w:spacing w:line="360" w:lineRule="auto"/>
        <w:rPr>
          <w:color w:val="000000"/>
          <w:sz w:val="24"/>
          <w:szCs w:val="24"/>
        </w:rPr>
      </w:pPr>
      <w:r>
        <w:rPr>
          <w:color w:val="000000"/>
          <w:sz w:val="24"/>
          <w:szCs w:val="24"/>
        </w:rPr>
        <w:t>基于诚信和会计责任，购买物品或服务应该尽可能取得国家税务部门印发的正规发票，并由经办人和证明人签字，项目负责人审批。</w:t>
      </w:r>
    </w:p>
    <w:p>
      <w:pPr>
        <w:numPr>
          <w:ilvl w:val="0"/>
          <w:numId w:val="3"/>
        </w:numPr>
        <w:spacing w:line="360" w:lineRule="auto"/>
        <w:rPr>
          <w:b/>
          <w:sz w:val="24"/>
          <w:szCs w:val="24"/>
        </w:rPr>
      </w:pPr>
      <w:r>
        <w:rPr>
          <w:color w:val="000000"/>
          <w:sz w:val="24"/>
          <w:szCs w:val="24"/>
        </w:rPr>
        <w:t>使用项目资金支付人员工资、劳务费、补贴，赈灾项目发放现金或物资需要自己制作单据的，单据须清楚反映支付的内容、标准、数量、金额，经手、签收、审批手续齐全，同时，应符合项目预算的标准。</w:t>
      </w:r>
    </w:p>
    <w:p>
      <w:pPr>
        <w:numPr>
          <w:ilvl w:val="0"/>
          <w:numId w:val="3"/>
        </w:numPr>
        <w:spacing w:line="360" w:lineRule="auto"/>
        <w:rPr>
          <w:b/>
          <w:sz w:val="24"/>
          <w:szCs w:val="24"/>
        </w:rPr>
      </w:pPr>
      <w:r>
        <w:rPr>
          <w:color w:val="000000"/>
          <w:sz w:val="24"/>
          <w:szCs w:val="24"/>
        </w:rPr>
        <w:t>“财务管理费”以实际拨付的项目资金总额为基数，按双方同意的比例计算，而不是按项目批准预算的管理费总额提取的。项目预算中规定了管理费上限的，管理费不得超过双方同意的上限。</w:t>
      </w:r>
    </w:p>
    <w:p>
      <w:pPr>
        <w:spacing w:line="360" w:lineRule="auto"/>
        <w:rPr>
          <w:b/>
          <w:sz w:val="24"/>
          <w:szCs w:val="24"/>
        </w:rPr>
      </w:pPr>
    </w:p>
    <w:p>
      <w:pPr>
        <w:spacing w:line="360" w:lineRule="auto"/>
        <w:rPr>
          <w:b/>
          <w:sz w:val="24"/>
          <w:szCs w:val="24"/>
        </w:rPr>
      </w:pPr>
      <w:r>
        <w:rPr>
          <w:b/>
          <w:sz w:val="24"/>
          <w:szCs w:val="24"/>
        </w:rPr>
        <w:t>五、项目财务报告</w:t>
      </w:r>
    </w:p>
    <w:p>
      <w:pPr>
        <w:pStyle w:val="6"/>
        <w:numPr>
          <w:ilvl w:val="0"/>
          <w:numId w:val="5"/>
        </w:numPr>
        <w:spacing w:line="360" w:lineRule="auto"/>
        <w:ind w:firstLineChars="0"/>
        <w:rPr>
          <w:rFonts w:ascii="Times New Roman" w:hAnsi="Times New Roman"/>
          <w:b/>
          <w:color w:val="000000"/>
          <w:sz w:val="24"/>
          <w:szCs w:val="24"/>
        </w:rPr>
      </w:pPr>
      <w:r>
        <w:rPr>
          <w:rFonts w:ascii="Times New Roman" w:hAnsi="Times New Roman"/>
          <w:color w:val="000000"/>
          <w:sz w:val="24"/>
          <w:szCs w:val="24"/>
        </w:rPr>
        <w:t>合作伙伴应根据项目协议书中约定的时间向正荣基金会提交项目财务报告。</w:t>
      </w:r>
    </w:p>
    <w:p>
      <w:pPr>
        <w:pStyle w:val="6"/>
        <w:numPr>
          <w:ilvl w:val="0"/>
          <w:numId w:val="5"/>
        </w:numPr>
        <w:spacing w:line="360" w:lineRule="auto"/>
        <w:ind w:firstLineChars="0"/>
        <w:rPr>
          <w:rFonts w:ascii="Times New Roman" w:hAnsi="Times New Roman"/>
          <w:b/>
          <w:color w:val="000000"/>
          <w:sz w:val="24"/>
          <w:szCs w:val="24"/>
        </w:rPr>
      </w:pPr>
      <w:r>
        <w:rPr>
          <w:rFonts w:ascii="Times New Roman" w:hAnsi="Times New Roman"/>
          <w:sz w:val="24"/>
          <w:szCs w:val="24"/>
        </w:rPr>
        <w:t>项目财务报告应按项目预算框架和科目编制，保证项目实际支出与预算相对应，有效反映项目预算执行情况，并保证报告内容真实、完整，数字准确无误。</w:t>
      </w:r>
    </w:p>
    <w:p>
      <w:pPr>
        <w:pStyle w:val="6"/>
        <w:numPr>
          <w:ilvl w:val="0"/>
          <w:numId w:val="5"/>
        </w:numPr>
        <w:spacing w:line="360" w:lineRule="auto"/>
        <w:ind w:firstLineChars="0"/>
        <w:rPr>
          <w:rFonts w:ascii="Times New Roman" w:hAnsi="Times New Roman"/>
          <w:b/>
          <w:color w:val="000000"/>
          <w:sz w:val="24"/>
          <w:szCs w:val="24"/>
        </w:rPr>
      </w:pPr>
      <w:r>
        <w:rPr>
          <w:rFonts w:ascii="Times New Roman" w:hAnsi="Times New Roman"/>
          <w:sz w:val="24"/>
          <w:szCs w:val="24"/>
        </w:rPr>
        <w:t>项目财务报告主要包括四部份内容：</w:t>
      </w:r>
    </w:p>
    <w:p>
      <w:pPr>
        <w:numPr>
          <w:ilvl w:val="1"/>
          <w:numId w:val="6"/>
        </w:numPr>
        <w:spacing w:line="360" w:lineRule="auto"/>
        <w:rPr>
          <w:sz w:val="24"/>
          <w:szCs w:val="24"/>
        </w:rPr>
      </w:pPr>
      <w:r>
        <w:rPr>
          <w:sz w:val="24"/>
          <w:szCs w:val="24"/>
        </w:rPr>
        <w:t>简述项目财务管理及控制情况；</w:t>
      </w:r>
    </w:p>
    <w:p>
      <w:pPr>
        <w:numPr>
          <w:ilvl w:val="1"/>
          <w:numId w:val="6"/>
        </w:numPr>
        <w:spacing w:line="360" w:lineRule="auto"/>
        <w:rPr>
          <w:sz w:val="24"/>
          <w:szCs w:val="24"/>
        </w:rPr>
      </w:pPr>
      <w:r>
        <w:rPr>
          <w:sz w:val="24"/>
          <w:szCs w:val="24"/>
        </w:rPr>
        <w:t>项目收款明细；</w:t>
      </w:r>
    </w:p>
    <w:p>
      <w:pPr>
        <w:numPr>
          <w:ilvl w:val="1"/>
          <w:numId w:val="6"/>
        </w:numPr>
        <w:spacing w:line="360" w:lineRule="auto"/>
        <w:rPr>
          <w:sz w:val="24"/>
          <w:szCs w:val="24"/>
        </w:rPr>
      </w:pPr>
      <w:r>
        <w:rPr>
          <w:sz w:val="24"/>
          <w:szCs w:val="24"/>
        </w:rPr>
        <w:t>项目支出明细；</w:t>
      </w:r>
    </w:p>
    <w:p>
      <w:pPr>
        <w:spacing w:line="360" w:lineRule="auto"/>
        <w:ind w:firstLine="480" w:firstLineChars="200"/>
        <w:rPr>
          <w:b/>
          <w:color w:val="000000"/>
          <w:sz w:val="24"/>
          <w:szCs w:val="24"/>
        </w:rPr>
      </w:pPr>
      <w:r>
        <w:rPr>
          <w:sz w:val="24"/>
          <w:szCs w:val="24"/>
        </w:rPr>
        <w:t>d、超支或节余资金分析及重要会计事项说明。</w:t>
      </w:r>
    </w:p>
    <w:p>
      <w:pPr>
        <w:spacing w:line="360" w:lineRule="auto"/>
        <w:rPr>
          <w:b/>
          <w:sz w:val="24"/>
          <w:szCs w:val="24"/>
        </w:rPr>
      </w:pPr>
    </w:p>
    <w:p>
      <w:pPr>
        <w:spacing w:line="360" w:lineRule="auto"/>
        <w:rPr>
          <w:b/>
          <w:sz w:val="24"/>
          <w:szCs w:val="24"/>
        </w:rPr>
      </w:pPr>
      <w:r>
        <w:rPr>
          <w:b/>
          <w:sz w:val="24"/>
          <w:szCs w:val="24"/>
        </w:rPr>
        <w:t>六、财务资料保存</w:t>
      </w:r>
    </w:p>
    <w:p>
      <w:pPr>
        <w:spacing w:line="360" w:lineRule="auto"/>
        <w:ind w:firstLine="475" w:firstLineChars="198"/>
        <w:rPr>
          <w:b/>
          <w:color w:val="000000"/>
          <w:sz w:val="24"/>
          <w:szCs w:val="24"/>
        </w:rPr>
      </w:pPr>
      <w:r>
        <w:rPr>
          <w:sz w:val="24"/>
          <w:szCs w:val="24"/>
        </w:rPr>
        <w:t>项目财务资料包括：原始票据（结算清单、明细单、小票等）、记账凭证、会计账簿、财务报表、项目活动变更批复、不可预见费使用批复，以及与项目支出直接相关的合同、协议、记录等资料，应及时整理、装订和保存，并参照国家《会计档案管理规定》处置。</w:t>
      </w:r>
    </w:p>
    <w:p>
      <w:pPr>
        <w:spacing w:line="360" w:lineRule="auto"/>
        <w:rPr>
          <w:b/>
          <w:sz w:val="24"/>
          <w:szCs w:val="24"/>
        </w:rPr>
      </w:pPr>
    </w:p>
    <w:p>
      <w:pPr>
        <w:spacing w:line="360" w:lineRule="auto"/>
        <w:rPr>
          <w:b/>
          <w:sz w:val="24"/>
          <w:szCs w:val="24"/>
        </w:rPr>
      </w:pPr>
      <w:r>
        <w:rPr>
          <w:b/>
          <w:sz w:val="24"/>
          <w:szCs w:val="24"/>
        </w:rPr>
        <w:t>七、审计与余款</w:t>
      </w:r>
    </w:p>
    <w:p>
      <w:pPr>
        <w:spacing w:line="360" w:lineRule="auto"/>
        <w:ind w:left="360" w:hanging="360" w:hangingChars="150"/>
        <w:rPr>
          <w:b/>
          <w:color w:val="000000"/>
          <w:sz w:val="24"/>
          <w:szCs w:val="24"/>
        </w:rPr>
      </w:pPr>
      <w:r>
        <w:rPr>
          <w:sz w:val="24"/>
          <w:szCs w:val="24"/>
        </w:rPr>
        <w:t>1. 对于超过人民币五万元的资助，正荣基金会将视情况在项目实施期间或结束后，安排本机构人员，或聘请外部审计机构对项目财务进行独立检查或审计，合作伙伴有责任提供相关资料和必要的工作便利，积极协助配合。</w:t>
      </w:r>
    </w:p>
    <w:p>
      <w:pPr>
        <w:spacing w:line="360" w:lineRule="auto"/>
        <w:ind w:left="361" w:hanging="361" w:hangingChars="150"/>
        <w:rPr>
          <w:b/>
          <w:color w:val="000000"/>
          <w:sz w:val="24"/>
          <w:szCs w:val="24"/>
          <w:highlight w:val="yellow"/>
        </w:rPr>
      </w:pPr>
      <w:r>
        <w:rPr>
          <w:b/>
          <w:color w:val="000000"/>
          <w:sz w:val="24"/>
          <w:szCs w:val="24"/>
        </w:rPr>
        <w:t xml:space="preserve">2. </w:t>
      </w:r>
      <w:r>
        <w:rPr>
          <w:sz w:val="24"/>
          <w:szCs w:val="24"/>
        </w:rPr>
        <w:t>项目结束后，正荣基金会对项目结余款拥有所有权和处置权，并将在项目结束时收回或作妥善处置。</w:t>
      </w:r>
    </w:p>
    <w:p>
      <w:pPr>
        <w:spacing w:line="360" w:lineRule="auto"/>
        <w:rPr>
          <w:b/>
          <w:sz w:val="24"/>
          <w:szCs w:val="24"/>
        </w:rPr>
      </w:pPr>
    </w:p>
    <w:p>
      <w:pPr>
        <w:spacing w:line="360" w:lineRule="auto"/>
        <w:rPr>
          <w:b/>
          <w:sz w:val="24"/>
          <w:szCs w:val="24"/>
        </w:rPr>
      </w:pPr>
      <w:r>
        <w:rPr>
          <w:b/>
          <w:sz w:val="24"/>
          <w:szCs w:val="24"/>
        </w:rPr>
        <w:t>八、财务监督与公开</w:t>
      </w:r>
    </w:p>
    <w:p>
      <w:pPr>
        <w:spacing w:line="360" w:lineRule="auto"/>
        <w:ind w:firstLine="470" w:firstLineChars="196"/>
        <w:rPr>
          <w:b/>
          <w:color w:val="000000"/>
          <w:sz w:val="24"/>
          <w:szCs w:val="24"/>
        </w:rPr>
      </w:pPr>
      <w:r>
        <w:rPr>
          <w:sz w:val="24"/>
          <w:szCs w:val="24"/>
        </w:rPr>
        <w:t>合作伙伴应该建立必要的财务管理制度，采取有效的资金监管和控制措施，确保项目资金安全，项目财务信息应在机构员工例会、理事会或通过其他途径在适当的范围内公布，接受员工、资助方和相关群体的监督，提高项目财务运作的透明度和问责性。</w:t>
      </w:r>
    </w:p>
    <w:p>
      <w:pPr>
        <w:spacing w:line="360" w:lineRule="auto"/>
        <w:rPr>
          <w:b/>
          <w:sz w:val="24"/>
          <w:szCs w:val="24"/>
        </w:rPr>
      </w:pPr>
    </w:p>
    <w:p>
      <w:pPr>
        <w:spacing w:line="360" w:lineRule="auto"/>
        <w:rPr>
          <w:b/>
          <w:sz w:val="24"/>
          <w:szCs w:val="24"/>
        </w:rPr>
      </w:pPr>
      <w:r>
        <w:rPr>
          <w:b/>
          <w:sz w:val="24"/>
          <w:szCs w:val="24"/>
        </w:rPr>
        <w:t>九、其他事项</w:t>
      </w:r>
    </w:p>
    <w:p>
      <w:pPr>
        <w:spacing w:line="360" w:lineRule="auto"/>
        <w:ind w:left="360" w:hanging="360" w:hangingChars="150"/>
        <w:rPr>
          <w:color w:val="000000"/>
          <w:sz w:val="24"/>
          <w:szCs w:val="24"/>
        </w:rPr>
      </w:pPr>
      <w:r>
        <w:rPr>
          <w:color w:val="000000"/>
          <w:sz w:val="24"/>
          <w:szCs w:val="24"/>
        </w:rPr>
        <w:t>1. 合作伙伴的项目或财务出现严重失误时，正荣基金会将根据具体情况，依据项目协议书中的条款，决定中止拨款，追回已拨款项及使用项目资金购置的物资，并保留通过法律诉讼手段解决问题的权利。</w:t>
      </w:r>
    </w:p>
    <w:p>
      <w:pPr>
        <w:spacing w:line="360" w:lineRule="auto"/>
        <w:ind w:left="360" w:hanging="360" w:hangingChars="150"/>
        <w:rPr>
          <w:color w:val="000000"/>
          <w:sz w:val="24"/>
          <w:szCs w:val="24"/>
        </w:rPr>
      </w:pPr>
      <w:r>
        <w:rPr>
          <w:color w:val="000000"/>
          <w:sz w:val="24"/>
          <w:szCs w:val="24"/>
        </w:rPr>
        <w:t>2. 在项目财务管理中，正荣基金会不接受任何违反国家法规、不诚实、营私舞弊、虚假报告等行为，包括以下及其他并未列出的行为：</w:t>
      </w:r>
    </w:p>
    <w:p>
      <w:pPr>
        <w:numPr>
          <w:ilvl w:val="0"/>
          <w:numId w:val="7"/>
        </w:numPr>
        <w:spacing w:line="360" w:lineRule="auto"/>
        <w:rPr>
          <w:color w:val="000000"/>
          <w:sz w:val="24"/>
          <w:szCs w:val="24"/>
        </w:rPr>
      </w:pPr>
      <w:r>
        <w:rPr>
          <w:color w:val="000000"/>
          <w:sz w:val="24"/>
          <w:szCs w:val="24"/>
        </w:rPr>
        <w:t>已注册机构把项目资金转存入个人储蓄账户</w:t>
      </w:r>
    </w:p>
    <w:p>
      <w:pPr>
        <w:numPr>
          <w:ilvl w:val="0"/>
          <w:numId w:val="7"/>
        </w:numPr>
        <w:spacing w:line="360" w:lineRule="auto"/>
        <w:rPr>
          <w:color w:val="000000"/>
          <w:sz w:val="24"/>
          <w:szCs w:val="24"/>
        </w:rPr>
      </w:pPr>
      <w:r>
        <w:rPr>
          <w:color w:val="000000"/>
          <w:sz w:val="24"/>
          <w:szCs w:val="24"/>
        </w:rPr>
        <w:t>采用虚假票据报销套取项目资金</w:t>
      </w:r>
    </w:p>
    <w:p>
      <w:pPr>
        <w:numPr>
          <w:ilvl w:val="0"/>
          <w:numId w:val="7"/>
        </w:numPr>
        <w:spacing w:line="360" w:lineRule="auto"/>
        <w:rPr>
          <w:color w:val="000000"/>
          <w:sz w:val="24"/>
          <w:szCs w:val="24"/>
        </w:rPr>
      </w:pPr>
      <w:r>
        <w:rPr>
          <w:color w:val="000000"/>
          <w:sz w:val="24"/>
          <w:szCs w:val="24"/>
        </w:rPr>
        <w:t>恶意运用会计技巧套取现金或避税</w:t>
      </w:r>
    </w:p>
    <w:p>
      <w:pPr>
        <w:numPr>
          <w:ilvl w:val="0"/>
          <w:numId w:val="7"/>
        </w:numPr>
        <w:spacing w:line="360" w:lineRule="auto"/>
        <w:rPr>
          <w:color w:val="000000"/>
          <w:sz w:val="24"/>
          <w:szCs w:val="24"/>
        </w:rPr>
      </w:pPr>
      <w:r>
        <w:rPr>
          <w:color w:val="000000"/>
          <w:sz w:val="24"/>
          <w:szCs w:val="24"/>
        </w:rPr>
        <w:t>编造虚假活动、伪造报销资料</w:t>
      </w:r>
    </w:p>
    <w:p>
      <w:pPr>
        <w:numPr>
          <w:ilvl w:val="0"/>
          <w:numId w:val="7"/>
        </w:numPr>
        <w:spacing w:line="360" w:lineRule="auto"/>
        <w:rPr>
          <w:color w:val="000000"/>
          <w:sz w:val="24"/>
          <w:szCs w:val="24"/>
        </w:rPr>
      </w:pPr>
      <w:r>
        <w:rPr>
          <w:color w:val="000000"/>
          <w:sz w:val="24"/>
          <w:szCs w:val="24"/>
        </w:rPr>
        <w:t>编造虚假名册，冒领、代领工资或补贴</w:t>
      </w:r>
    </w:p>
    <w:p>
      <w:pPr>
        <w:numPr>
          <w:ilvl w:val="0"/>
          <w:numId w:val="8"/>
        </w:numPr>
        <w:spacing w:line="360" w:lineRule="auto"/>
        <w:rPr>
          <w:color w:val="000000"/>
          <w:sz w:val="24"/>
          <w:szCs w:val="24"/>
        </w:rPr>
      </w:pPr>
      <w:r>
        <w:rPr>
          <w:color w:val="000000"/>
          <w:sz w:val="24"/>
          <w:szCs w:val="24"/>
        </w:rPr>
        <w:t>违背员工意愿强迫员工捐赠工资、劳务及补助</w:t>
      </w:r>
    </w:p>
    <w:p>
      <w:pPr>
        <w:numPr>
          <w:ilvl w:val="0"/>
          <w:numId w:val="7"/>
        </w:numPr>
        <w:spacing w:line="360" w:lineRule="auto"/>
        <w:rPr>
          <w:color w:val="000000"/>
          <w:sz w:val="24"/>
          <w:szCs w:val="24"/>
        </w:rPr>
      </w:pPr>
      <w:r>
        <w:rPr>
          <w:color w:val="000000"/>
          <w:sz w:val="24"/>
          <w:szCs w:val="24"/>
        </w:rPr>
        <w:t>故意向员工或对外公布虚假会计信息</w:t>
      </w:r>
    </w:p>
    <w:p>
      <w:pPr>
        <w:numPr>
          <w:ilvl w:val="0"/>
          <w:numId w:val="7"/>
        </w:numPr>
        <w:spacing w:line="360" w:lineRule="auto"/>
        <w:rPr>
          <w:color w:val="000000"/>
          <w:sz w:val="24"/>
          <w:szCs w:val="24"/>
        </w:rPr>
      </w:pPr>
      <w:r>
        <w:rPr>
          <w:color w:val="000000"/>
          <w:sz w:val="24"/>
          <w:szCs w:val="24"/>
        </w:rPr>
        <w:t>恶意涂改发票、账本和报表</w:t>
      </w:r>
    </w:p>
    <w:p>
      <w:pPr>
        <w:numPr>
          <w:ilvl w:val="0"/>
          <w:numId w:val="7"/>
        </w:numPr>
        <w:spacing w:line="360" w:lineRule="auto"/>
        <w:rPr>
          <w:color w:val="000000"/>
          <w:sz w:val="24"/>
          <w:szCs w:val="24"/>
        </w:rPr>
      </w:pPr>
      <w:r>
        <w:rPr>
          <w:color w:val="000000"/>
          <w:sz w:val="24"/>
          <w:szCs w:val="24"/>
        </w:rPr>
        <w:t>应该取得发票却大量以白条报账</w:t>
      </w:r>
    </w:p>
    <w:p/>
    <w:sectPr>
      <w:headerReference r:id="rId3" w:type="default"/>
      <w:footerReference r:id="rId4" w:type="default"/>
      <w:pgSz w:w="11906" w:h="16838"/>
      <w:pgMar w:top="1361" w:right="1797" w:bottom="1361"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ingLiUfalt">
    <w:altName w:val="MingLiU"/>
    <w:panose1 w:val="00000000000000000000"/>
    <w:charset w:val="88"/>
    <w:family w:val="auto"/>
    <w:pitch w:val="default"/>
    <w:sig w:usb0="00000000" w:usb1="00000000" w:usb2="00000010" w:usb3="00000000" w:csb0="00100000" w:csb1="00000000"/>
  </w:font>
  <w:font w:name="仿宋">
    <w:panose1 w:val="02010609060101010101"/>
    <w:charset w:val="86"/>
    <w:family w:val="modern"/>
    <w:pitch w:val="default"/>
    <w:sig w:usb0="800002BF" w:usb1="38CF7CFA" w:usb2="00000016" w:usb3="00000000" w:csb0="00040001" w:csb1="00000000"/>
  </w:font>
  <w:font w:name="MingLiU">
    <w:panose1 w:val="02020509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5</w:t>
    </w:r>
    <w:r>
      <w:fldChar w:fldCharType="end"/>
    </w:r>
  </w:p>
  <w:p>
    <w:pPr>
      <w:pStyle w:val="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6" w:space="13"/>
      </w:pBdr>
    </w:pPr>
    <w:r>
      <w:drawing>
        <wp:anchor distT="0" distB="0" distL="114300" distR="114300" simplePos="0" relativeHeight="251658240" behindDoc="1" locked="0" layoutInCell="1" allowOverlap="1">
          <wp:simplePos x="0" y="0"/>
          <wp:positionH relativeFrom="column">
            <wp:posOffset>-1035685</wp:posOffset>
          </wp:positionH>
          <wp:positionV relativeFrom="paragraph">
            <wp:posOffset>-494030</wp:posOffset>
          </wp:positionV>
          <wp:extent cx="2455545" cy="837565"/>
          <wp:effectExtent l="0" t="0" r="13335" b="63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455545" cy="83756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decimal"/>
      <w:lvlText w:val="%1."/>
      <w:lvlJc w:val="left"/>
      <w:pPr>
        <w:tabs>
          <w:tab w:val="left" w:pos="480"/>
        </w:tabs>
        <w:ind w:left="480" w:hanging="480"/>
      </w:pPr>
      <w:rPr>
        <w:rFonts w:hint="default" w:cs="Times New Roman"/>
        <w:b/>
        <w:color w:val="000000"/>
        <w:sz w:val="24"/>
      </w:rPr>
    </w:lvl>
    <w:lvl w:ilvl="1" w:tentative="0">
      <w:start w:val="1"/>
      <w:numFmt w:val="lowerLetter"/>
      <w:lvlText w:val="%2、"/>
      <w:lvlJc w:val="left"/>
      <w:pPr>
        <w:tabs>
          <w:tab w:val="left" w:pos="786"/>
        </w:tabs>
        <w:ind w:left="786" w:hanging="360"/>
      </w:pPr>
      <w:rPr>
        <w:rFonts w:hint="default" w:eastAsia="宋体" w:cs="Times New Roman"/>
      </w:rPr>
    </w:lvl>
    <w:lvl w:ilvl="2" w:tentative="0">
      <w:start w:val="1"/>
      <w:numFmt w:val="lowerRoman"/>
      <w:lvlText w:val="%3."/>
      <w:lvlJc w:val="right"/>
      <w:pPr>
        <w:tabs>
          <w:tab w:val="left" w:pos="1440"/>
        </w:tabs>
        <w:ind w:left="1440" w:hanging="480"/>
      </w:pPr>
      <w:rPr>
        <w:rFonts w:cs="Times New Roman"/>
      </w:rPr>
    </w:lvl>
    <w:lvl w:ilvl="3" w:tentative="0">
      <w:start w:val="1"/>
      <w:numFmt w:val="decimal"/>
      <w:lvlText w:val="%4."/>
      <w:lvlJc w:val="left"/>
      <w:pPr>
        <w:tabs>
          <w:tab w:val="left" w:pos="1920"/>
        </w:tabs>
        <w:ind w:left="1920" w:hanging="480"/>
      </w:pPr>
      <w:rPr>
        <w:rFonts w:cs="Times New Roman"/>
      </w:rPr>
    </w:lvl>
    <w:lvl w:ilvl="4" w:tentative="0">
      <w:start w:val="1"/>
      <w:numFmt w:val="ideographTraditional"/>
      <w:lvlText w:val="%5、"/>
      <w:lvlJc w:val="left"/>
      <w:pPr>
        <w:tabs>
          <w:tab w:val="left" w:pos="2400"/>
        </w:tabs>
        <w:ind w:left="2400" w:hanging="480"/>
      </w:pPr>
      <w:rPr>
        <w:rFonts w:cs="Times New Roman"/>
      </w:rPr>
    </w:lvl>
    <w:lvl w:ilvl="5" w:tentative="0">
      <w:start w:val="1"/>
      <w:numFmt w:val="lowerRoman"/>
      <w:lvlText w:val="%6."/>
      <w:lvlJc w:val="right"/>
      <w:pPr>
        <w:tabs>
          <w:tab w:val="left" w:pos="2880"/>
        </w:tabs>
        <w:ind w:left="2880" w:hanging="480"/>
      </w:pPr>
      <w:rPr>
        <w:rFonts w:cs="Times New Roman"/>
      </w:rPr>
    </w:lvl>
    <w:lvl w:ilvl="6" w:tentative="0">
      <w:start w:val="1"/>
      <w:numFmt w:val="decimal"/>
      <w:lvlText w:val="%7."/>
      <w:lvlJc w:val="left"/>
      <w:pPr>
        <w:tabs>
          <w:tab w:val="left" w:pos="3360"/>
        </w:tabs>
        <w:ind w:left="3360" w:hanging="480"/>
      </w:pPr>
      <w:rPr>
        <w:rFonts w:cs="Times New Roman"/>
      </w:rPr>
    </w:lvl>
    <w:lvl w:ilvl="7" w:tentative="0">
      <w:start w:val="1"/>
      <w:numFmt w:val="ideographTraditional"/>
      <w:lvlText w:val="%8、"/>
      <w:lvlJc w:val="left"/>
      <w:pPr>
        <w:tabs>
          <w:tab w:val="left" w:pos="3840"/>
        </w:tabs>
        <w:ind w:left="3840" w:hanging="480"/>
      </w:pPr>
      <w:rPr>
        <w:rFonts w:cs="Times New Roman"/>
      </w:rPr>
    </w:lvl>
    <w:lvl w:ilvl="8" w:tentative="0">
      <w:start w:val="1"/>
      <w:numFmt w:val="lowerRoman"/>
      <w:lvlText w:val="%9."/>
      <w:lvlJc w:val="right"/>
      <w:pPr>
        <w:tabs>
          <w:tab w:val="left" w:pos="4320"/>
        </w:tabs>
        <w:ind w:left="4320" w:hanging="480"/>
      </w:pPr>
      <w:rPr>
        <w:rFonts w:cs="Times New Roman"/>
      </w:rPr>
    </w:lvl>
  </w:abstractNum>
  <w:abstractNum w:abstractNumId="1">
    <w:nsid w:val="00000009"/>
    <w:multiLevelType w:val="multilevel"/>
    <w:tmpl w:val="00000009"/>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0000000F"/>
    <w:multiLevelType w:val="multilevel"/>
    <w:tmpl w:val="0000000F"/>
    <w:lvl w:ilvl="0" w:tentative="0">
      <w:start w:val="0"/>
      <w:numFmt w:val="bullet"/>
      <w:lvlText w:val=""/>
      <w:lvlJc w:val="left"/>
      <w:pPr>
        <w:tabs>
          <w:tab w:val="left" w:pos="780"/>
        </w:tabs>
        <w:ind w:left="780" w:hanging="360"/>
      </w:pPr>
      <w:rPr>
        <w:rFonts w:hint="default" w:ascii="Wingdings" w:hAnsi="Wingdings" w:eastAsia="宋体"/>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00000010"/>
    <w:multiLevelType w:val="multilevel"/>
    <w:tmpl w:val="00000010"/>
    <w:lvl w:ilvl="0" w:tentative="0">
      <w:start w:val="1"/>
      <w:numFmt w:val="decimal"/>
      <w:lvlText w:val="%1."/>
      <w:lvlJc w:val="left"/>
      <w:pPr>
        <w:tabs>
          <w:tab w:val="left" w:pos="425"/>
        </w:tabs>
        <w:ind w:left="425" w:hanging="425"/>
      </w:pPr>
      <w:rPr>
        <w:rFonts w:cs="Times New Roman"/>
        <w:b w:val="0"/>
        <w:color w:val="000000"/>
      </w:rPr>
    </w:lvl>
    <w:lvl w:ilvl="1" w:tentative="0">
      <w:start w:val="1"/>
      <w:numFmt w:val="decimal"/>
      <w:isLgl/>
      <w:lvlText w:val="%1.%2"/>
      <w:lvlJc w:val="left"/>
      <w:pPr>
        <w:tabs>
          <w:tab w:val="left" w:pos="480"/>
        </w:tabs>
        <w:ind w:left="480" w:hanging="480"/>
      </w:pPr>
      <w:rPr>
        <w:rFonts w:hint="default" w:eastAsia="MingLiUfalt" w:cs="Times New Roman"/>
        <w:color w:val="0000FF"/>
      </w:rPr>
    </w:lvl>
    <w:lvl w:ilvl="2" w:tentative="0">
      <w:start w:val="1"/>
      <w:numFmt w:val="decimal"/>
      <w:isLgl/>
      <w:lvlText w:val="%1.%2.%3"/>
      <w:lvlJc w:val="left"/>
      <w:pPr>
        <w:tabs>
          <w:tab w:val="left" w:pos="720"/>
        </w:tabs>
        <w:ind w:left="720" w:hanging="720"/>
      </w:pPr>
      <w:rPr>
        <w:rFonts w:hint="default" w:eastAsia="MingLiUfalt" w:cs="Times New Roman"/>
        <w:color w:val="0000FF"/>
      </w:rPr>
    </w:lvl>
    <w:lvl w:ilvl="3" w:tentative="0">
      <w:start w:val="1"/>
      <w:numFmt w:val="decimal"/>
      <w:isLgl/>
      <w:lvlText w:val="%1.%2.%3.%4"/>
      <w:lvlJc w:val="left"/>
      <w:pPr>
        <w:tabs>
          <w:tab w:val="left" w:pos="1080"/>
        </w:tabs>
        <w:ind w:left="1080" w:hanging="1080"/>
      </w:pPr>
      <w:rPr>
        <w:rFonts w:hint="default" w:eastAsia="MingLiUfalt" w:cs="Times New Roman"/>
        <w:color w:val="0000FF"/>
      </w:rPr>
    </w:lvl>
    <w:lvl w:ilvl="4" w:tentative="0">
      <w:start w:val="1"/>
      <w:numFmt w:val="decimal"/>
      <w:isLgl/>
      <w:lvlText w:val="%1.%2.%3.%4.%5"/>
      <w:lvlJc w:val="left"/>
      <w:pPr>
        <w:tabs>
          <w:tab w:val="left" w:pos="1080"/>
        </w:tabs>
        <w:ind w:left="1080" w:hanging="1080"/>
      </w:pPr>
      <w:rPr>
        <w:rFonts w:hint="default" w:eastAsia="MingLiUfalt" w:cs="Times New Roman"/>
        <w:color w:val="0000FF"/>
      </w:rPr>
    </w:lvl>
    <w:lvl w:ilvl="5" w:tentative="0">
      <w:start w:val="1"/>
      <w:numFmt w:val="decimal"/>
      <w:isLgl/>
      <w:lvlText w:val="%1.%2.%3.%4.%5.%6"/>
      <w:lvlJc w:val="left"/>
      <w:pPr>
        <w:tabs>
          <w:tab w:val="left" w:pos="1440"/>
        </w:tabs>
        <w:ind w:left="1440" w:hanging="1440"/>
      </w:pPr>
      <w:rPr>
        <w:rFonts w:hint="default" w:eastAsia="MingLiUfalt" w:cs="Times New Roman"/>
        <w:color w:val="0000FF"/>
      </w:rPr>
    </w:lvl>
    <w:lvl w:ilvl="6" w:tentative="0">
      <w:start w:val="1"/>
      <w:numFmt w:val="decimal"/>
      <w:isLgl/>
      <w:lvlText w:val="%1.%2.%3.%4.%5.%6.%7"/>
      <w:lvlJc w:val="left"/>
      <w:pPr>
        <w:tabs>
          <w:tab w:val="left" w:pos="1800"/>
        </w:tabs>
        <w:ind w:left="1800" w:hanging="1800"/>
      </w:pPr>
      <w:rPr>
        <w:rFonts w:hint="default" w:eastAsia="MingLiUfalt" w:cs="Times New Roman"/>
        <w:color w:val="0000FF"/>
      </w:rPr>
    </w:lvl>
    <w:lvl w:ilvl="7" w:tentative="0">
      <w:start w:val="1"/>
      <w:numFmt w:val="decimal"/>
      <w:isLgl/>
      <w:lvlText w:val="%1.%2.%3.%4.%5.%6.%7.%8"/>
      <w:lvlJc w:val="left"/>
      <w:pPr>
        <w:tabs>
          <w:tab w:val="left" w:pos="1800"/>
        </w:tabs>
        <w:ind w:left="1800" w:hanging="1800"/>
      </w:pPr>
      <w:rPr>
        <w:rFonts w:hint="default" w:eastAsia="MingLiUfalt" w:cs="Times New Roman"/>
        <w:color w:val="0000FF"/>
      </w:rPr>
    </w:lvl>
    <w:lvl w:ilvl="8" w:tentative="0">
      <w:start w:val="1"/>
      <w:numFmt w:val="decimal"/>
      <w:isLgl/>
      <w:lvlText w:val="%1.%2.%3.%4.%5.%6.%7.%8.%9"/>
      <w:lvlJc w:val="left"/>
      <w:pPr>
        <w:tabs>
          <w:tab w:val="left" w:pos="2160"/>
        </w:tabs>
        <w:ind w:left="2160" w:hanging="2160"/>
      </w:pPr>
      <w:rPr>
        <w:rFonts w:hint="default" w:eastAsia="MingLiUfalt" w:cs="Times New Roman"/>
        <w:color w:val="0000FF"/>
      </w:rPr>
    </w:lvl>
  </w:abstractNum>
  <w:abstractNum w:abstractNumId="4">
    <w:nsid w:val="00000012"/>
    <w:multiLevelType w:val="multilevel"/>
    <w:tmpl w:val="00000012"/>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37FA3C2F"/>
    <w:multiLevelType w:val="multilevel"/>
    <w:tmpl w:val="37FA3C2F"/>
    <w:lvl w:ilvl="0" w:tentative="0">
      <w:start w:val="1"/>
      <w:numFmt w:val="decimal"/>
      <w:lvlText w:val="%1."/>
      <w:lvlJc w:val="left"/>
      <w:pPr>
        <w:ind w:left="360" w:hanging="360"/>
      </w:pPr>
      <w:rPr>
        <w:rFonts w:hint="default" w:cs="Times New Roman"/>
        <w:b w:val="0"/>
        <w:color w:val="000000"/>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6">
    <w:nsid w:val="65D44315"/>
    <w:multiLevelType w:val="multilevel"/>
    <w:tmpl w:val="65D44315"/>
    <w:lvl w:ilvl="0" w:tentative="0">
      <w:start w:val="1"/>
      <w:numFmt w:val="decimal"/>
      <w:lvlText w:val="%1."/>
      <w:lvlJc w:val="left"/>
      <w:pPr>
        <w:ind w:left="360" w:hanging="360"/>
      </w:pPr>
      <w:rPr>
        <w:rFonts w:hint="default" w:cs="Times New Roman"/>
        <w:b w:val="0"/>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7">
    <w:nsid w:val="7E846CDF"/>
    <w:multiLevelType w:val="multilevel"/>
    <w:tmpl w:val="7E846CDF"/>
    <w:lvl w:ilvl="0" w:tentative="0">
      <w:start w:val="1"/>
      <w:numFmt w:val="decimal"/>
      <w:lvlText w:val="%1."/>
      <w:lvlJc w:val="left"/>
      <w:pPr>
        <w:ind w:left="360" w:hanging="360"/>
      </w:pPr>
      <w:rPr>
        <w:rFonts w:hint="default" w:cs="Times New Roman"/>
        <w:b w:val="0"/>
        <w:color w:val="000000"/>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3"/>
  </w:num>
  <w:num w:numId="2">
    <w:abstractNumId w:val="5"/>
  </w:num>
  <w:num w:numId="3">
    <w:abstractNumId w:val="7"/>
  </w:num>
  <w:num w:numId="4">
    <w:abstractNumId w:val="2"/>
  </w:num>
  <w:num w:numId="5">
    <w:abstractNumId w:val="6"/>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DA0130"/>
    <w:rsid w:val="56DA01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kern w:val="0"/>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kern w:val="0"/>
      <w:sz w:val="18"/>
      <w:szCs w:val="18"/>
    </w:rPr>
  </w:style>
  <w:style w:type="paragraph" w:customStyle="1" w:styleId="6">
    <w:name w:val="List Paragraph1"/>
    <w:basedOn w:val="1"/>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2017-11-06T03:57:00Z</dcterms:created>
  <dc:creator>lichunlu</dc:creator>
  <cp:lastModifiedBy>lichunlu</cp:lastModifiedBy>
  <dcterms:modified xsi:type="dcterms:W3CDTF">2017-11-06T03:58:07Z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